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57F" w:rsidRDefault="005D357F" w:rsidP="005D357F">
      <w:pPr>
        <w:jc w:val="center"/>
        <w:rPr>
          <w:rFonts w:ascii="Times New Roman" w:hAnsi="Times New Roman" w:cs="Times New Roman"/>
          <w:sz w:val="28"/>
        </w:rPr>
      </w:pPr>
      <w:r>
        <w:rPr>
          <w:rFonts w:ascii="Times New Roman" w:hAnsi="Times New Roman" w:cs="Times New Roman"/>
          <w:sz w:val="28"/>
        </w:rPr>
        <w:t>Проект изменения в Правила благоустройства территории города Сарова</w:t>
      </w:r>
    </w:p>
    <w:p w:rsidR="005D357F" w:rsidRDefault="005D357F" w:rsidP="005D357F">
      <w:pPr>
        <w:jc w:val="both"/>
        <w:rPr>
          <w:rFonts w:ascii="Times New Roman" w:hAnsi="Times New Roman" w:cs="Times New Roman"/>
          <w:sz w:val="28"/>
        </w:rPr>
      </w:pPr>
    </w:p>
    <w:p w:rsidR="005D357F" w:rsidRDefault="005D357F" w:rsidP="005D357F">
      <w:pPr>
        <w:jc w:val="both"/>
        <w:rPr>
          <w:rFonts w:ascii="Times New Roman" w:hAnsi="Times New Roman" w:cs="Times New Roman"/>
          <w:sz w:val="28"/>
        </w:rPr>
      </w:pP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1.                     Внести следующие изменения в Правила благоустройства территории города Сарова, утвержденные решением Городской Думы города Сарова от 20.10.2017 №97/6-гд (в ред. решения Городской Думы города Сарова от 26.01.2023 № 09/7-гд), (дале</w:t>
      </w:r>
      <w:proofErr w:type="gramStart"/>
      <w:r w:rsidRPr="005D357F">
        <w:rPr>
          <w:rFonts w:ascii="Times New Roman" w:hAnsi="Times New Roman" w:cs="Times New Roman"/>
          <w:sz w:val="28"/>
        </w:rPr>
        <w:t>е-</w:t>
      </w:r>
      <w:proofErr w:type="gramEnd"/>
      <w:r w:rsidRPr="005D357F">
        <w:rPr>
          <w:rFonts w:ascii="Times New Roman" w:hAnsi="Times New Roman" w:cs="Times New Roman"/>
          <w:sz w:val="28"/>
        </w:rPr>
        <w:t xml:space="preserve"> Правила):</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 xml:space="preserve"> 1.1. </w:t>
      </w:r>
      <w:proofErr w:type="gramStart"/>
      <w:r w:rsidRPr="005D357F">
        <w:rPr>
          <w:rFonts w:ascii="Times New Roman" w:hAnsi="Times New Roman" w:cs="Times New Roman"/>
          <w:sz w:val="28"/>
        </w:rPr>
        <w:t>В пункте 1.2 Правил заменить слова «Федерального закона от 06.10.2003№131-ФЗ «Об общих принципах организации местного самоуправления в Российской Федерации» на слова «Федерального закона от 20.03.2025 №33-ФЗ «Об общих принципах организации местного самоуправления в единой системе публичной власти.»;</w:t>
      </w:r>
      <w:proofErr w:type="gramEnd"/>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 1.2. Пункт 1.11.7 Правил изложить в новой редакции:</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«1.11.7. Осуществляет муниципальный контроль в сфере благоустройства, а также иные виды контроля в области обеспечения чистоты и порядка на территориях общего пользования, предусмотренные законодательством Нижегородской области;»;</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1.3. Пункт 2.2.5.1 Правил изложить в новой редакции:</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 xml:space="preserve">«2.2.5.1. </w:t>
      </w:r>
      <w:proofErr w:type="gramStart"/>
      <w:r w:rsidRPr="005D357F">
        <w:rPr>
          <w:rFonts w:ascii="Times New Roman" w:hAnsi="Times New Roman" w:cs="Times New Roman"/>
          <w:sz w:val="28"/>
        </w:rPr>
        <w:t>Складирование (выброс) и (или) временное хранение мусора, скопление мусора, а также сброс и (или) складирование мусора, отходов спила деревьев, листвы, снега, грунта вне специально отведенных мест, определяемых Администрацией;»;</w:t>
      </w:r>
      <w:proofErr w:type="gramEnd"/>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1.4. Раздел 2 Правил дополнить подпунктом 2.2.6 в следующей редакции:</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«2.2.6. На территориях общего пользования допускается размещение антенно-мачтовых сооружений по типу столб, башня, мачта, опора (далее - АМС) с учетом следующих требований:</w:t>
      </w:r>
    </w:p>
    <w:p w:rsidR="005D357F" w:rsidRPr="005D357F" w:rsidRDefault="005D357F" w:rsidP="005D357F">
      <w:pPr>
        <w:jc w:val="both"/>
        <w:rPr>
          <w:rFonts w:ascii="Times New Roman" w:hAnsi="Times New Roman" w:cs="Times New Roman"/>
          <w:sz w:val="28"/>
        </w:rPr>
      </w:pPr>
      <w:proofErr w:type="gramStart"/>
      <w:r w:rsidRPr="005D357F">
        <w:rPr>
          <w:rFonts w:ascii="Times New Roman" w:hAnsi="Times New Roman" w:cs="Times New Roman"/>
          <w:sz w:val="28"/>
        </w:rPr>
        <w:t>- не допускается размещение АМС на расстоянии ближе 50 метров от границ земельного участка, на котором расположены индивидуальный жилой или многоквартирный дом, дом блокированной застройки, объекты учреждений образования, спорта, культуры, молодежных и медицинских организаций в случае, если такой земельный участок сформирован;</w:t>
      </w:r>
      <w:proofErr w:type="gramEnd"/>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 не допускается размещение АМС на расстоянии ближе 60 метров от индивидуального жилого или многоквартирного дома, дома блокированной застройки, объектов учреждений образования, спорта, культуры, молодежных и медицинских организаций в случае, если земельные участки для таких объектов и домов не сформированы;</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 xml:space="preserve">- не допускается размещение АМС на расстоянии </w:t>
      </w:r>
      <w:proofErr w:type="gramStart"/>
      <w:r w:rsidRPr="005D357F">
        <w:rPr>
          <w:rFonts w:ascii="Times New Roman" w:hAnsi="Times New Roman" w:cs="Times New Roman"/>
          <w:sz w:val="28"/>
        </w:rPr>
        <w:t>ближе</w:t>
      </w:r>
      <w:proofErr w:type="gramEnd"/>
      <w:r w:rsidRPr="005D357F">
        <w:rPr>
          <w:rFonts w:ascii="Times New Roman" w:hAnsi="Times New Roman" w:cs="Times New Roman"/>
          <w:sz w:val="28"/>
        </w:rPr>
        <w:t xml:space="preserve"> чем 200 метров друг от друга, в том числе и от существующих АМС;</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 не допускается размещение АМС на территориях общего пользования, расположенных в зонах рекреационного назначения, а именно в зоне Р-2 (зона учреждений отдыха), Р-5 (зона парков), а также в зонах особо охраняемых природных территорий</w:t>
      </w:r>
      <w:proofErr w:type="gramStart"/>
      <w:r w:rsidRPr="005D357F">
        <w:rPr>
          <w:rFonts w:ascii="Times New Roman" w:hAnsi="Times New Roman" w:cs="Times New Roman"/>
          <w:sz w:val="28"/>
        </w:rPr>
        <w:t>.»;</w:t>
      </w:r>
      <w:proofErr w:type="gramEnd"/>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1.5. Пункт 5.2 Правил изложить в новой редакции:</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 xml:space="preserve">«5.2. Все объекты наружного освещения вне зависимости от мест их расположения должны поддерживаться в исправном и безопасном </w:t>
      </w:r>
      <w:proofErr w:type="gramStart"/>
      <w:r w:rsidRPr="005D357F">
        <w:rPr>
          <w:rFonts w:ascii="Times New Roman" w:hAnsi="Times New Roman" w:cs="Times New Roman"/>
          <w:sz w:val="28"/>
        </w:rPr>
        <w:t>состоянии</w:t>
      </w:r>
      <w:proofErr w:type="gramEnd"/>
      <w:r w:rsidRPr="005D357F">
        <w:rPr>
          <w:rFonts w:ascii="Times New Roman" w:hAnsi="Times New Roman" w:cs="Times New Roman"/>
          <w:sz w:val="28"/>
        </w:rPr>
        <w:t xml:space="preserve">. </w:t>
      </w:r>
      <w:r w:rsidRPr="005D357F">
        <w:rPr>
          <w:rFonts w:ascii="Times New Roman" w:hAnsi="Times New Roman" w:cs="Times New Roman"/>
          <w:sz w:val="28"/>
        </w:rPr>
        <w:lastRenderedPageBreak/>
        <w:t>Состояние опор, светильников, линий электропередач, ламп, других элементов объектов наружного освещения, а также уровень освещенности должны соответствовать установленным техническим требованиям, в том числе ГОСТ. Устранение дефектов объектов наружного освещения должно осуществляться в установленные сроки</w:t>
      </w:r>
      <w:proofErr w:type="gramStart"/>
      <w:r w:rsidRPr="005D357F">
        <w:rPr>
          <w:rFonts w:ascii="Times New Roman" w:hAnsi="Times New Roman" w:cs="Times New Roman"/>
          <w:sz w:val="28"/>
        </w:rPr>
        <w:t>.»;</w:t>
      </w:r>
    </w:p>
    <w:p w:rsidR="005D357F" w:rsidRPr="005D357F" w:rsidRDefault="005D357F" w:rsidP="005D357F">
      <w:pPr>
        <w:jc w:val="both"/>
        <w:rPr>
          <w:rFonts w:ascii="Times New Roman" w:hAnsi="Times New Roman" w:cs="Times New Roman"/>
          <w:sz w:val="28"/>
        </w:rPr>
      </w:pPr>
      <w:proofErr w:type="gramEnd"/>
      <w:r w:rsidRPr="005D357F">
        <w:rPr>
          <w:rFonts w:ascii="Times New Roman" w:hAnsi="Times New Roman" w:cs="Times New Roman"/>
          <w:sz w:val="28"/>
        </w:rPr>
        <w:t xml:space="preserve">1.6.            В </w:t>
      </w:r>
      <w:proofErr w:type="gramStart"/>
      <w:r w:rsidRPr="005D357F">
        <w:rPr>
          <w:rFonts w:ascii="Times New Roman" w:hAnsi="Times New Roman" w:cs="Times New Roman"/>
          <w:sz w:val="28"/>
        </w:rPr>
        <w:t>пункте</w:t>
      </w:r>
      <w:proofErr w:type="gramEnd"/>
      <w:r w:rsidRPr="005D357F">
        <w:rPr>
          <w:rFonts w:ascii="Times New Roman" w:hAnsi="Times New Roman" w:cs="Times New Roman"/>
          <w:sz w:val="28"/>
        </w:rPr>
        <w:t xml:space="preserve"> 5.5 Правил второе предложение изложить в следующей редакции:</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«Не допускается наличие двух и более неработающих светильников, расположенных один за другим, наличие неработающих светильников на перекрестках, а также на остановочном пункте маршрутной сети, пешеходном переходе в одном уровне</w:t>
      </w:r>
      <w:proofErr w:type="gramStart"/>
      <w:r w:rsidRPr="005D357F">
        <w:rPr>
          <w:rFonts w:ascii="Times New Roman" w:hAnsi="Times New Roman" w:cs="Times New Roman"/>
          <w:sz w:val="28"/>
        </w:rPr>
        <w:t>.»;</w:t>
      </w:r>
      <w:proofErr w:type="gramEnd"/>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1.7. Пункт 5.7 Правил изложить в новой редакции:    </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 xml:space="preserve">«5.7. Включение и выключение объектов наружного освещения осуществляется при естественной освещенности по </w:t>
      </w:r>
      <w:proofErr w:type="gramStart"/>
      <w:r w:rsidRPr="005D357F">
        <w:rPr>
          <w:rFonts w:ascii="Times New Roman" w:hAnsi="Times New Roman" w:cs="Times New Roman"/>
          <w:sz w:val="28"/>
        </w:rPr>
        <w:t>соответствующему</w:t>
      </w:r>
      <w:proofErr w:type="gramEnd"/>
      <w:r w:rsidRPr="005D357F">
        <w:rPr>
          <w:rFonts w:ascii="Times New Roman" w:hAnsi="Times New Roman" w:cs="Times New Roman"/>
          <w:sz w:val="28"/>
        </w:rPr>
        <w:t xml:space="preserve"> ГОСТ специализированными (эксплуатирующими, подрядными) организациями, в том числе с учетом графиков и режимов работы, определяемых Администрацией.»;</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 xml:space="preserve">1.8. В </w:t>
      </w:r>
      <w:proofErr w:type="gramStart"/>
      <w:r w:rsidRPr="005D357F">
        <w:rPr>
          <w:rFonts w:ascii="Times New Roman" w:hAnsi="Times New Roman" w:cs="Times New Roman"/>
          <w:sz w:val="28"/>
        </w:rPr>
        <w:t>пункте</w:t>
      </w:r>
      <w:proofErr w:type="gramEnd"/>
      <w:r w:rsidRPr="005D357F">
        <w:rPr>
          <w:rFonts w:ascii="Times New Roman" w:hAnsi="Times New Roman" w:cs="Times New Roman"/>
          <w:sz w:val="28"/>
        </w:rPr>
        <w:t xml:space="preserve"> 5.9 Правил исключить последний абзац;</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 xml:space="preserve">1.9. В </w:t>
      </w:r>
      <w:proofErr w:type="gramStart"/>
      <w:r w:rsidRPr="005D357F">
        <w:rPr>
          <w:rFonts w:ascii="Times New Roman" w:hAnsi="Times New Roman" w:cs="Times New Roman"/>
          <w:sz w:val="28"/>
        </w:rPr>
        <w:t>пункте</w:t>
      </w:r>
      <w:proofErr w:type="gramEnd"/>
      <w:r w:rsidRPr="005D357F">
        <w:rPr>
          <w:rFonts w:ascii="Times New Roman" w:hAnsi="Times New Roman" w:cs="Times New Roman"/>
          <w:sz w:val="28"/>
        </w:rPr>
        <w:t xml:space="preserve"> 5.11.1 Правил исключить предложения 2 и 3;</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1.10. Пункт 5.11.4 Правил исключить;</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 xml:space="preserve">1.11. В </w:t>
      </w:r>
      <w:proofErr w:type="gramStart"/>
      <w:r w:rsidRPr="005D357F">
        <w:rPr>
          <w:rFonts w:ascii="Times New Roman" w:hAnsi="Times New Roman" w:cs="Times New Roman"/>
          <w:sz w:val="28"/>
        </w:rPr>
        <w:t>пунктах</w:t>
      </w:r>
      <w:proofErr w:type="gramEnd"/>
      <w:r w:rsidRPr="005D357F">
        <w:rPr>
          <w:rFonts w:ascii="Times New Roman" w:hAnsi="Times New Roman" w:cs="Times New Roman"/>
          <w:sz w:val="28"/>
        </w:rPr>
        <w:t xml:space="preserve"> 6.6, 13.5 Правил слова «разрешения на вырубку (снос), пересадку, повреждение или уничтожение зеленых насаждений», «разрешение на вырубку (снос) зеленых насаждений», «разрешения на вырубку или проведение иных работ, связанных со сносом или пересадкой зеленых насаждений» заменить на слова «разрешение на право вырубки зеленых насаждений» в соответствующем падеже;</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 xml:space="preserve">1.12. В </w:t>
      </w:r>
      <w:proofErr w:type="gramStart"/>
      <w:r w:rsidRPr="005D357F">
        <w:rPr>
          <w:rFonts w:ascii="Times New Roman" w:hAnsi="Times New Roman" w:cs="Times New Roman"/>
          <w:sz w:val="28"/>
        </w:rPr>
        <w:t>тексте</w:t>
      </w:r>
      <w:proofErr w:type="gramEnd"/>
      <w:r w:rsidRPr="005D357F">
        <w:rPr>
          <w:rFonts w:ascii="Times New Roman" w:hAnsi="Times New Roman" w:cs="Times New Roman"/>
          <w:sz w:val="28"/>
        </w:rPr>
        <w:t xml:space="preserve"> Правил слова «разрешение на вырубку аварийных деревьев» заменить на слова «разрешение на право вырубки аварийных деревьев» в соответствующем падеже;</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1.13. В пункте 6.5 Правил слова «подсадка деревьев и кустарников</w:t>
      </w:r>
      <w:proofErr w:type="gramStart"/>
      <w:r w:rsidRPr="005D357F">
        <w:rPr>
          <w:rFonts w:ascii="Times New Roman" w:hAnsi="Times New Roman" w:cs="Times New Roman"/>
          <w:sz w:val="28"/>
        </w:rPr>
        <w:t>,»</w:t>
      </w:r>
      <w:proofErr w:type="gramEnd"/>
      <w:r w:rsidRPr="005D357F">
        <w:rPr>
          <w:rFonts w:ascii="Times New Roman" w:hAnsi="Times New Roman" w:cs="Times New Roman"/>
          <w:sz w:val="28"/>
        </w:rPr>
        <w:t xml:space="preserve"> исключить;</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1.14. Пункт 11.2.3.1 Правил изложить в новой редакции:</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 xml:space="preserve">«11.2.3.1. </w:t>
      </w:r>
      <w:proofErr w:type="spellStart"/>
      <w:r w:rsidRPr="005D357F">
        <w:rPr>
          <w:rFonts w:ascii="Times New Roman" w:hAnsi="Times New Roman" w:cs="Times New Roman"/>
          <w:sz w:val="28"/>
        </w:rPr>
        <w:t>Прометание</w:t>
      </w:r>
      <w:proofErr w:type="spellEnd"/>
      <w:r w:rsidRPr="005D357F">
        <w:rPr>
          <w:rFonts w:ascii="Times New Roman" w:hAnsi="Times New Roman" w:cs="Times New Roman"/>
          <w:sz w:val="28"/>
        </w:rPr>
        <w:t xml:space="preserve"> территорий с твердым покрытием (тротуары, придомовые, дворовые территории, хозяйственные, детские, спортивные площадки, автомобильные дороги и проезды, иные объекты), промывка от пыли и грязи твердых покрытий, сбор и вывоз мусора, уборка мусора из урн по мере наполнения;»;</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1.15. Пункты 11.2.3.2, 11.2.3.4 - 11.2.3.6 исключить;</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1.16. Пункт 11.3.4.1 Правил изложить в новой редакции:</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 xml:space="preserve">«11.3.4.1. </w:t>
      </w:r>
      <w:proofErr w:type="spellStart"/>
      <w:r w:rsidRPr="005D357F">
        <w:rPr>
          <w:rFonts w:ascii="Times New Roman" w:hAnsi="Times New Roman" w:cs="Times New Roman"/>
          <w:sz w:val="28"/>
        </w:rPr>
        <w:t>Прометание</w:t>
      </w:r>
      <w:proofErr w:type="spellEnd"/>
      <w:r w:rsidRPr="005D357F">
        <w:rPr>
          <w:rFonts w:ascii="Times New Roman" w:hAnsi="Times New Roman" w:cs="Times New Roman"/>
          <w:sz w:val="28"/>
        </w:rPr>
        <w:t xml:space="preserve"> территорий с твердым покрытием, сбор и вывоз мусора;»;</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1.17. Пункт 11.3.4.2 исключить;</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1.18. Абзац 3 пункта 11.4.3 Правил изложить в новой редакции:</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 xml:space="preserve">«Места (площадки) накопления ТКО должны содержаться в надлежащем </w:t>
      </w:r>
      <w:proofErr w:type="gramStart"/>
      <w:r w:rsidRPr="005D357F">
        <w:rPr>
          <w:rFonts w:ascii="Times New Roman" w:hAnsi="Times New Roman" w:cs="Times New Roman"/>
          <w:sz w:val="28"/>
        </w:rPr>
        <w:t>состоянии</w:t>
      </w:r>
      <w:proofErr w:type="gramEnd"/>
      <w:r w:rsidRPr="005D357F">
        <w:rPr>
          <w:rFonts w:ascii="Times New Roman" w:hAnsi="Times New Roman" w:cs="Times New Roman"/>
          <w:sz w:val="28"/>
        </w:rPr>
        <w:t xml:space="preserve"> собственниками или владельцами таких мест (площадок) </w:t>
      </w:r>
      <w:r w:rsidRPr="005D357F">
        <w:rPr>
          <w:rFonts w:ascii="Times New Roman" w:hAnsi="Times New Roman" w:cs="Times New Roman"/>
          <w:sz w:val="28"/>
        </w:rPr>
        <w:lastRenderedPageBreak/>
        <w:t>накопления ТКО, если иное не установлено действующим законодательством Российской Федерации, территория вокруг места (площадки) накопления ТКО в радиусе 10 м должна находиться в чистоте и порядке.»;</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1.19. Абзац 4 пункта 11.4.3 Правил изложить в новой редакции:</w:t>
      </w:r>
    </w:p>
    <w:p w:rsidR="005D357F" w:rsidRPr="005D357F" w:rsidRDefault="005D357F" w:rsidP="005D357F">
      <w:pPr>
        <w:jc w:val="both"/>
        <w:rPr>
          <w:rFonts w:ascii="Times New Roman" w:hAnsi="Times New Roman" w:cs="Times New Roman"/>
          <w:sz w:val="28"/>
        </w:rPr>
      </w:pPr>
      <w:r w:rsidRPr="005D357F">
        <w:rPr>
          <w:rFonts w:ascii="Times New Roman" w:hAnsi="Times New Roman" w:cs="Times New Roman"/>
          <w:sz w:val="28"/>
        </w:rPr>
        <w:t>«На месте (площадке) накопления ТКО собственником такого места (площадки) в обязательном порядке размещается информация о собственнике места (площадке) накопления ТКО, графике вывоза ТКО, правилах раздельного накопления ТКО, установленных порядком, утвержденным Правительством Нижегородской области</w:t>
      </w:r>
      <w:proofErr w:type="gramStart"/>
      <w:r w:rsidRPr="005D357F">
        <w:rPr>
          <w:rFonts w:ascii="Times New Roman" w:hAnsi="Times New Roman" w:cs="Times New Roman"/>
          <w:sz w:val="28"/>
        </w:rPr>
        <w:t>.»;</w:t>
      </w:r>
    </w:p>
    <w:p w:rsidR="005D357F" w:rsidRPr="005D357F" w:rsidRDefault="005D357F" w:rsidP="005D357F">
      <w:pPr>
        <w:jc w:val="both"/>
        <w:rPr>
          <w:rFonts w:ascii="Times New Roman" w:hAnsi="Times New Roman" w:cs="Times New Roman"/>
          <w:sz w:val="28"/>
        </w:rPr>
      </w:pPr>
      <w:proofErr w:type="gramEnd"/>
      <w:r w:rsidRPr="005D357F">
        <w:rPr>
          <w:rFonts w:ascii="Times New Roman" w:hAnsi="Times New Roman" w:cs="Times New Roman"/>
          <w:sz w:val="28"/>
        </w:rPr>
        <w:t>1.20. Пункт 13.8 Правил дополнить предложением: «Исполнитель работ должен немедленно с момента обнаружения и фиксации должностным лицом Администрации провалов и деформаций дорожного покрытия, вызванных производством работ, приступить к ликвидации таких провалов и деформаций дорожного покрытия и выполнить такие работы в сроки, указанные в графике проведения работ по ликвидации провалов и деформаций</w:t>
      </w:r>
      <w:proofErr w:type="gramStart"/>
      <w:r w:rsidRPr="005D357F">
        <w:rPr>
          <w:rFonts w:ascii="Times New Roman" w:hAnsi="Times New Roman" w:cs="Times New Roman"/>
          <w:sz w:val="28"/>
        </w:rPr>
        <w:t>.».  </w:t>
      </w:r>
      <w:proofErr w:type="gramEnd"/>
    </w:p>
    <w:p w:rsidR="000603EB" w:rsidRPr="005D357F" w:rsidRDefault="000603EB" w:rsidP="005D357F">
      <w:pPr>
        <w:jc w:val="both"/>
        <w:rPr>
          <w:rFonts w:ascii="Times New Roman" w:hAnsi="Times New Roman" w:cs="Times New Roman"/>
          <w:sz w:val="28"/>
        </w:rPr>
      </w:pPr>
    </w:p>
    <w:sectPr w:rsidR="000603EB" w:rsidRPr="005D357F" w:rsidSect="007563B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701" w:rsidRDefault="00140701" w:rsidP="005D357F">
      <w:r>
        <w:separator/>
      </w:r>
    </w:p>
  </w:endnote>
  <w:endnote w:type="continuationSeparator" w:id="0">
    <w:p w:rsidR="00140701" w:rsidRDefault="00140701" w:rsidP="005D35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701" w:rsidRDefault="00140701" w:rsidP="005D357F">
      <w:r>
        <w:separator/>
      </w:r>
    </w:p>
  </w:footnote>
  <w:footnote w:type="continuationSeparator" w:id="0">
    <w:p w:rsidR="00140701" w:rsidRDefault="00140701" w:rsidP="005D35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footnotePr>
    <w:footnote w:id="-1"/>
    <w:footnote w:id="0"/>
  </w:footnotePr>
  <w:endnotePr>
    <w:endnote w:id="-1"/>
    <w:endnote w:id="0"/>
  </w:endnotePr>
  <w:compat/>
  <w:rsids>
    <w:rsidRoot w:val="003D2BC2"/>
    <w:rsid w:val="00006F17"/>
    <w:rsid w:val="00035714"/>
    <w:rsid w:val="000603EB"/>
    <w:rsid w:val="00082297"/>
    <w:rsid w:val="000D57BB"/>
    <w:rsid w:val="000F6F7D"/>
    <w:rsid w:val="00122BFC"/>
    <w:rsid w:val="00132F63"/>
    <w:rsid w:val="00136A6A"/>
    <w:rsid w:val="00140701"/>
    <w:rsid w:val="0015263B"/>
    <w:rsid w:val="00176AD8"/>
    <w:rsid w:val="00190273"/>
    <w:rsid w:val="001A516B"/>
    <w:rsid w:val="001B2DA6"/>
    <w:rsid w:val="001C0613"/>
    <w:rsid w:val="0020010A"/>
    <w:rsid w:val="002F3DD6"/>
    <w:rsid w:val="00346F7C"/>
    <w:rsid w:val="003A0365"/>
    <w:rsid w:val="003D2BC2"/>
    <w:rsid w:val="003D6633"/>
    <w:rsid w:val="00430505"/>
    <w:rsid w:val="00451939"/>
    <w:rsid w:val="00464A17"/>
    <w:rsid w:val="004767D8"/>
    <w:rsid w:val="0048486A"/>
    <w:rsid w:val="004A196A"/>
    <w:rsid w:val="004A44FF"/>
    <w:rsid w:val="004C2359"/>
    <w:rsid w:val="004C2BE0"/>
    <w:rsid w:val="00507AEC"/>
    <w:rsid w:val="0051049F"/>
    <w:rsid w:val="00515234"/>
    <w:rsid w:val="005602FF"/>
    <w:rsid w:val="0057414E"/>
    <w:rsid w:val="005D357F"/>
    <w:rsid w:val="005E2568"/>
    <w:rsid w:val="00606C9A"/>
    <w:rsid w:val="0060707E"/>
    <w:rsid w:val="006770E1"/>
    <w:rsid w:val="00682995"/>
    <w:rsid w:val="00690AE8"/>
    <w:rsid w:val="006B1558"/>
    <w:rsid w:val="006C02E3"/>
    <w:rsid w:val="006C55B2"/>
    <w:rsid w:val="006C66E7"/>
    <w:rsid w:val="006D2761"/>
    <w:rsid w:val="006D6622"/>
    <w:rsid w:val="00754B19"/>
    <w:rsid w:val="007563B2"/>
    <w:rsid w:val="00764BEB"/>
    <w:rsid w:val="00765E53"/>
    <w:rsid w:val="007A2613"/>
    <w:rsid w:val="007B2E3C"/>
    <w:rsid w:val="007B3BAF"/>
    <w:rsid w:val="007C63B1"/>
    <w:rsid w:val="007F1D1D"/>
    <w:rsid w:val="00807B94"/>
    <w:rsid w:val="00833D42"/>
    <w:rsid w:val="0084255A"/>
    <w:rsid w:val="00846C3F"/>
    <w:rsid w:val="008807F9"/>
    <w:rsid w:val="008B074E"/>
    <w:rsid w:val="008F497C"/>
    <w:rsid w:val="009141FB"/>
    <w:rsid w:val="009331F0"/>
    <w:rsid w:val="009A26B9"/>
    <w:rsid w:val="009F3B93"/>
    <w:rsid w:val="009F43A4"/>
    <w:rsid w:val="009F6071"/>
    <w:rsid w:val="00A0412C"/>
    <w:rsid w:val="00A706C7"/>
    <w:rsid w:val="00A77343"/>
    <w:rsid w:val="00A8201E"/>
    <w:rsid w:val="00AA3C6F"/>
    <w:rsid w:val="00AB2743"/>
    <w:rsid w:val="00AD2423"/>
    <w:rsid w:val="00AE5B4E"/>
    <w:rsid w:val="00AE7BA5"/>
    <w:rsid w:val="00AF1B37"/>
    <w:rsid w:val="00AF2BD7"/>
    <w:rsid w:val="00B2611E"/>
    <w:rsid w:val="00B43FDF"/>
    <w:rsid w:val="00B70BFF"/>
    <w:rsid w:val="00BA418E"/>
    <w:rsid w:val="00BD2FE4"/>
    <w:rsid w:val="00BD333D"/>
    <w:rsid w:val="00C47F42"/>
    <w:rsid w:val="00C745E2"/>
    <w:rsid w:val="00C97A9A"/>
    <w:rsid w:val="00D04B45"/>
    <w:rsid w:val="00D04FB7"/>
    <w:rsid w:val="00D05583"/>
    <w:rsid w:val="00D202C4"/>
    <w:rsid w:val="00D57F00"/>
    <w:rsid w:val="00D6451C"/>
    <w:rsid w:val="00DB3176"/>
    <w:rsid w:val="00DD31E8"/>
    <w:rsid w:val="00DE2FBF"/>
    <w:rsid w:val="00DF132C"/>
    <w:rsid w:val="00DF238A"/>
    <w:rsid w:val="00E02B92"/>
    <w:rsid w:val="00EC5BC6"/>
    <w:rsid w:val="00EE106C"/>
    <w:rsid w:val="00EE1DDB"/>
    <w:rsid w:val="00F04303"/>
    <w:rsid w:val="00F14E40"/>
    <w:rsid w:val="00F30883"/>
    <w:rsid w:val="00F52829"/>
    <w:rsid w:val="00F61791"/>
    <w:rsid w:val="00F8494D"/>
    <w:rsid w:val="00F943B7"/>
    <w:rsid w:val="00F97F7C"/>
    <w:rsid w:val="00FB3A45"/>
    <w:rsid w:val="00FB458D"/>
    <w:rsid w:val="00FC60AA"/>
    <w:rsid w:val="00FD702C"/>
    <w:rsid w:val="00FD7BA0"/>
    <w:rsid w:val="00FE6E83"/>
    <w:rsid w:val="00FF7A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96A"/>
    <w:pPr>
      <w:spacing w:after="0" w:line="240" w:lineRule="auto"/>
    </w:pPr>
    <w:rPr>
      <w:rFonts w:ascii="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locked/>
    <w:rsid w:val="004A196A"/>
    <w:rPr>
      <w:shd w:val="clear" w:color="auto" w:fill="FFFFFF"/>
    </w:rPr>
  </w:style>
  <w:style w:type="paragraph" w:customStyle="1" w:styleId="20">
    <w:name w:val="Основной текст (2)"/>
    <w:basedOn w:val="a"/>
    <w:link w:val="2"/>
    <w:uiPriority w:val="99"/>
    <w:rsid w:val="004A196A"/>
    <w:pPr>
      <w:shd w:val="clear" w:color="auto" w:fill="FFFFFF"/>
      <w:spacing w:line="240" w:lineRule="atLeast"/>
      <w:jc w:val="both"/>
    </w:pPr>
    <w:rPr>
      <w:rFonts w:asciiTheme="minorHAnsi" w:hAnsiTheme="minorHAnsi" w:cstheme="minorBidi"/>
      <w:lang w:eastAsia="en-US"/>
    </w:rPr>
  </w:style>
  <w:style w:type="paragraph" w:styleId="a3">
    <w:name w:val="Balloon Text"/>
    <w:basedOn w:val="a"/>
    <w:link w:val="a4"/>
    <w:uiPriority w:val="99"/>
    <w:semiHidden/>
    <w:unhideWhenUsed/>
    <w:rsid w:val="005D357F"/>
    <w:rPr>
      <w:rFonts w:ascii="Tahoma" w:hAnsi="Tahoma" w:cs="Tahoma"/>
      <w:sz w:val="16"/>
      <w:szCs w:val="16"/>
    </w:rPr>
  </w:style>
  <w:style w:type="character" w:customStyle="1" w:styleId="a4">
    <w:name w:val="Текст выноски Знак"/>
    <w:basedOn w:val="a0"/>
    <w:link w:val="a3"/>
    <w:uiPriority w:val="99"/>
    <w:semiHidden/>
    <w:rsid w:val="005D357F"/>
    <w:rPr>
      <w:rFonts w:ascii="Tahoma" w:hAnsi="Tahoma" w:cs="Tahoma"/>
      <w:sz w:val="16"/>
      <w:szCs w:val="16"/>
      <w:lang w:eastAsia="ru-RU"/>
    </w:rPr>
  </w:style>
  <w:style w:type="paragraph" w:styleId="a5">
    <w:name w:val="Normal (Web)"/>
    <w:basedOn w:val="a"/>
    <w:uiPriority w:val="99"/>
    <w:semiHidden/>
    <w:unhideWhenUsed/>
    <w:rsid w:val="005D357F"/>
    <w:pPr>
      <w:spacing w:before="100" w:beforeAutospacing="1" w:after="100" w:afterAutospacing="1"/>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5D357F"/>
    <w:pPr>
      <w:tabs>
        <w:tab w:val="center" w:pos="4677"/>
        <w:tab w:val="right" w:pos="9355"/>
      </w:tabs>
    </w:pPr>
  </w:style>
  <w:style w:type="character" w:customStyle="1" w:styleId="a7">
    <w:name w:val="Верхний колонтитул Знак"/>
    <w:basedOn w:val="a0"/>
    <w:link w:val="a6"/>
    <w:uiPriority w:val="99"/>
    <w:semiHidden/>
    <w:rsid w:val="005D357F"/>
    <w:rPr>
      <w:rFonts w:ascii="Calibri" w:hAnsi="Calibri" w:cs="Calibri"/>
      <w:lang w:eastAsia="ru-RU"/>
    </w:rPr>
  </w:style>
  <w:style w:type="paragraph" w:styleId="a8">
    <w:name w:val="footer"/>
    <w:basedOn w:val="a"/>
    <w:link w:val="a9"/>
    <w:uiPriority w:val="99"/>
    <w:semiHidden/>
    <w:unhideWhenUsed/>
    <w:rsid w:val="005D357F"/>
    <w:pPr>
      <w:tabs>
        <w:tab w:val="center" w:pos="4677"/>
        <w:tab w:val="right" w:pos="9355"/>
      </w:tabs>
    </w:pPr>
  </w:style>
  <w:style w:type="character" w:customStyle="1" w:styleId="a9">
    <w:name w:val="Нижний колонтитул Знак"/>
    <w:basedOn w:val="a0"/>
    <w:link w:val="a8"/>
    <w:uiPriority w:val="99"/>
    <w:semiHidden/>
    <w:rsid w:val="005D357F"/>
    <w:rPr>
      <w:rFonts w:ascii="Calibri" w:hAnsi="Calibri" w:cs="Calibri"/>
      <w:lang w:eastAsia="ru-RU"/>
    </w:rPr>
  </w:style>
</w:styles>
</file>

<file path=word/webSettings.xml><?xml version="1.0" encoding="utf-8"?>
<w:webSettings xmlns:r="http://schemas.openxmlformats.org/officeDocument/2006/relationships" xmlns:w="http://schemas.openxmlformats.org/wordprocessingml/2006/main">
  <w:divs>
    <w:div w:id="58676700">
      <w:bodyDiv w:val="1"/>
      <w:marLeft w:val="0"/>
      <w:marRight w:val="0"/>
      <w:marTop w:val="0"/>
      <w:marBottom w:val="0"/>
      <w:divBdr>
        <w:top w:val="none" w:sz="0" w:space="0" w:color="auto"/>
        <w:left w:val="none" w:sz="0" w:space="0" w:color="auto"/>
        <w:bottom w:val="none" w:sz="0" w:space="0" w:color="auto"/>
        <w:right w:val="none" w:sz="0" w:space="0" w:color="auto"/>
      </w:divBdr>
    </w:div>
    <w:div w:id="206428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908</Words>
  <Characters>5181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г.Сарова</Company>
  <LinksUpToDate>false</LinksUpToDate>
  <CharactersWithSpaces>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rtv</dc:creator>
  <cp:lastModifiedBy>Горохов П.И.</cp:lastModifiedBy>
  <cp:revision>2</cp:revision>
  <cp:lastPrinted>2025-02-18T07:09:00Z</cp:lastPrinted>
  <dcterms:created xsi:type="dcterms:W3CDTF">2026-02-24T13:46:00Z</dcterms:created>
  <dcterms:modified xsi:type="dcterms:W3CDTF">2026-02-24T13:46:00Z</dcterms:modified>
</cp:coreProperties>
</file>